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52 vom 20. November 2024</w:t>
      </w:r>
    </w:p>
    <w:p>
      <w:r>
        <w:t>VS Kantonsgericht, 2024-11-20, FR</w:t>
      </w:r>
    </w:p>
    <w:p>
      <w:r>
        <w:rPr>
          <w:b/>
        </w:rPr>
        <w:t xml:space="preserve">Quelle: </w:t>
      </w:r>
      <w:r>
        <w:t>https://mcp.opencaselaw.ch/entscheid/vs_gerichte_C3 24 52</w:t>
      </w:r>
    </w:p>
    <w:p>
      <w:r>
        <w:t>FR: VS_GERICHTE C3 24 52 du 20 novembre 2024</w:t>
      </w:r>
    </w:p>
    <w:p>
      <w:r>
        <w:t>IT: VS_GERICHTE C3 24 52 del 20 novembre 2024</w:t>
      </w:r>
    </w:p>
    <w:p>
      <w:pPr>
        <w:pStyle w:val="Heading2"/>
      </w:pPr>
      <w:r>
        <w:t>Regeste</w:t>
      </w:r>
    </w:p>
    <w:p>
      <w:r>
        <w:t>C3 24 52 ARRÊT DU 20 NOVEMBRE 2024 Tribunal cantonal du Valais Chambre civile Geneviève Berclaz Coquoz, juge ; Céline Gaillard, greffière en la cause X _________ SA, poursuivante et recourante, contre Y _________, poursuivi et intimé au recours. (mainlevée provisoire ; acte de défaut de biens après saisie ; prescription) recours contre la décision du 9 avril 2024 du Tribunal d’Hérens et Conthey (HCO LP 24 128)</w:t>
      </w:r>
    </w:p>
    <w:p>
      <w:pPr>
        <w:pStyle w:val="Heading2"/>
      </w:pPr>
      <w:r>
        <w:t>Erwägungen</w:t>
      </w:r>
    </w:p>
    <w:p>
      <w:r>
        <w:rPr>
          <w:b/>
        </w:rPr>
        <w:t>E. 1</w:t>
      </w:r>
    </w:p>
    <w:p>
      <w:r>
        <w:t>LP) ; que le délai de 20 ans est un véritable délai de prescription au sens des art. 127 ss CO et peut, à ce titre, être interrompu (HUBER/SOGO, Basler Kommentar - SchKG, 3e éd. 2021, n. 3 ad art. 149a LP) ; que la prescription est interrompue par une réquisition de poursuite qui remplit les exigences de l’art. 67 LP (ATF 138 III 528 consid. 4.1), la notification d’un commandement de payer ou par le dépôt d’une requête de mainlevée (art. 135 ch. 2, 138 al. 2 CO ; PICHONNAZ, Commentaire Romand - CO I, 3e éd. 2021, n. 12 ad art. 135 et les réf., n. 9 ad art. 138 ; DÄPPEN, Basler Kommentar - OR I, 7e éd. 2020, n. 6 et 8 ad art. 135) ; que la preuve de l'interruption de la prescription incombe au poursuivant (arrêt du Tribunal fédéral 5A_152/2012 du 19 décembre 2012 consid. 4.1) ; qu’en l’espèce, la juge intimée a considéré que l’acte de défaut de biens produit par la poursuivante valait titre de mainlevée provisoire ; que, statuant sur l’exception soulevée par le poursuivi en audience du 9 avril 2024, elle a conclu que la prescription de vingt ans de l’acte de défaut de biens, délivré le 5 décembre 2003, était acquise le 11 décembre 2023 lors de l’établissement du commandement de payer, qui constituait le premier acte interruptif de prescription figurant au dossier ; que la recourante prétend que la poursuite a été introduite le 4 décembre 2023 à 16 heures 31, via l’interface e-LP, précisant que l’envoi de fichiers e-LP n’avait lieu qu’une fois par jour et que l’office des poursuites n’avait pu réceptionner la requête que le lendemain, en sorte que la prescription avait été interrompue conformément à l’art. 135 ch. 2 CO ; qu’elle a produit des « printscreen » contenant les données relatives à l’envoi de la poursuite litigieuse ; que, toutefois, ces allégations et pièces, qui ne figuraient pas au dossier de première instance, sont nouvelles et dès lors irrecevables en procédure de recours (cf. art. 326 CO), étant rappelé que la question de la prescription du titre de mainlevée n’a pas à être examinée d’office (ATF 143 III 221 consid. 4) ; qu’il est relevé que la possibilité a été offerte à la recourante de se déterminer sur le moyen de la prescription soulevé par le poursuivi ; que, citée à comparaître et rendue expressément attentive au fait que la présence des parties n’était pas nécessaire, pour autant que les pièces justificatives ou</w:t>
      </w:r>
    </w:p>
    <w:p>
      <w:r>
        <w:t>- 5 - libératoires soient déposées avant la séance (cf. p. 12, citation du 13 mars 2024), celle- ci n’a pas comparu à l’audience du 9 avril 2024, alors même que la partie adverse ne s’était pas prononcée sur la requête, se privant ainsi elle-même de son droit de s’exprimer ; que, fondé sur un moyen de preuve irrecevable, le recours ne peut qu’être rejeté ; qu’à cet égard, comme aucune autre critique n’est formulée contre la décision de mainlevée, le raisonnement sur la prescription de la créance découlant de l’acte de défaut de biens reste intact et conduit au refus de la mainlevée ; que, compte tenu du montant de la créance déduite en poursuite (411'452 fr. 50), de l'ampleur et de la simplicité de la cause, ainsi que des principes de la couverture des frais et de l’équivalence des prestations (art. 13 LTar), l’émolument forfaitaire de la présente décision (art. 95 al. 2 let. b CPC) est fixé à 400 fr. (art. 48 et 61 al. 1 OELP) ; qu'il est mis à la charge de la recourante, qui succombe (art. 106 al. 1 CPC) ; qu’il sera prélevé sur l’avance qu’elle a prestée, dont le solde lui sera restitué ; qu'il ne sera pas alloué de dépens à la partie adverse, laquelle ne s’est pas déterminée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